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04" w:rsidRPr="009F71E7" w:rsidRDefault="003E55C0" w:rsidP="009F71E7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Calibri"/>
          <w:b/>
          <w:color w:val="FF0000"/>
          <w:sz w:val="48"/>
          <w:szCs w:val="48"/>
          <w:u w:val="single"/>
          <w:lang w:eastAsia="en-US" w:bidi="ar-SA"/>
        </w:rPr>
      </w:pPr>
      <w:r>
        <w:rPr>
          <w:rFonts w:ascii="Calibri" w:eastAsia="Calibri" w:hAnsi="Calibri" w:cs="Calibri"/>
          <w:b/>
          <w:color w:val="FF0000"/>
          <w:sz w:val="48"/>
          <w:szCs w:val="48"/>
          <w:u w:val="single"/>
          <w:lang w:eastAsia="en-US" w:bidi="ar-SA"/>
        </w:rPr>
        <w:t>Specializační</w:t>
      </w:r>
      <w:bookmarkStart w:id="0" w:name="_GoBack"/>
      <w:bookmarkEnd w:id="0"/>
      <w:r w:rsidR="009F71E7" w:rsidRPr="009F71E7">
        <w:rPr>
          <w:rFonts w:ascii="Calibri" w:eastAsia="Calibri" w:hAnsi="Calibri" w:cs="Calibri"/>
          <w:b/>
          <w:color w:val="FF0000"/>
          <w:sz w:val="48"/>
          <w:szCs w:val="48"/>
          <w:u w:val="single"/>
          <w:lang w:eastAsia="en-US" w:bidi="ar-SA"/>
        </w:rPr>
        <w:t xml:space="preserve"> SZZ – </w:t>
      </w:r>
      <w:r>
        <w:rPr>
          <w:rFonts w:ascii="Calibri" w:eastAsia="Calibri" w:hAnsi="Calibri" w:cs="Calibri"/>
          <w:b/>
          <w:color w:val="0070C0"/>
          <w:sz w:val="48"/>
          <w:szCs w:val="48"/>
          <w:u w:val="single"/>
          <w:lang w:eastAsia="en-US" w:bidi="ar-SA"/>
        </w:rPr>
        <w:t>Kreativní psaní</w:t>
      </w:r>
    </w:p>
    <w:p w:rsidR="003C5504" w:rsidRDefault="003C5504">
      <w:pPr>
        <w:pStyle w:val="Zkladntext"/>
        <w:spacing w:before="11"/>
        <w:ind w:left="0"/>
        <w:jc w:val="left"/>
        <w:rPr>
          <w:b/>
          <w:sz w:val="31"/>
        </w:rPr>
      </w:pPr>
    </w:p>
    <w:p w:rsidR="003C5504" w:rsidRPr="009F71E7" w:rsidRDefault="007D6C24" w:rsidP="007D6C24">
      <w:pPr>
        <w:pStyle w:val="Nadpis1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>Písemná část státní závěrečné zkoušky</w:t>
      </w:r>
    </w:p>
    <w:p w:rsidR="003C5504" w:rsidRPr="009F71E7" w:rsidRDefault="007D6C24" w:rsidP="007D6C24">
      <w:pPr>
        <w:pStyle w:val="Zkladntext"/>
        <w:spacing w:before="159" w:line="360" w:lineRule="auto"/>
        <w:ind w:right="117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  <w:spacing w:val="-5"/>
        </w:rPr>
        <w:t xml:space="preserve">Test </w:t>
      </w:r>
      <w:r w:rsidRPr="009F71E7">
        <w:rPr>
          <w:rFonts w:asciiTheme="minorHAnsi" w:hAnsiTheme="minorHAnsi" w:cstheme="minorHAnsi"/>
        </w:rPr>
        <w:t>vychází ze dvou textů, k nimž jsou přiřazeny otázky zaměřené na ověření studentovy schopnosti aplikovat teoretické znalosti při jazykové a stylové analýze textu. Student dále prokáže schopnost redigovat a korigovat text. Součástí testu je definice základních pojmů z oblasti poetiky a</w:t>
      </w:r>
      <w:r w:rsidRPr="009F71E7">
        <w:rPr>
          <w:rFonts w:asciiTheme="minorHAnsi" w:hAnsiTheme="minorHAnsi" w:cstheme="minorHAnsi"/>
          <w:spacing w:val="-5"/>
        </w:rPr>
        <w:t xml:space="preserve"> </w:t>
      </w:r>
      <w:r w:rsidRPr="009F71E7">
        <w:rPr>
          <w:rFonts w:asciiTheme="minorHAnsi" w:hAnsiTheme="minorHAnsi" w:cstheme="minorHAnsi"/>
        </w:rPr>
        <w:t>genologie.</w:t>
      </w:r>
    </w:p>
    <w:p w:rsidR="003C5504" w:rsidRPr="009F71E7" w:rsidRDefault="007D6C24" w:rsidP="007D6C24">
      <w:pPr>
        <w:pStyle w:val="Zkladntext"/>
        <w:spacing w:line="360" w:lineRule="auto"/>
        <w:ind w:right="114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>Na začátku písemné části student předkládá seznam četby vytvořený dle pokynů (viz ústní část). Pokud seznam četby nebude splňovat požadavky, bude studentovi navrácen k opravě, a student jej musí zaslat e-mailem den před konáním ústní části. Pokud ani druhá verze seznamu četby nebude vyhovující, student nebude připuštěn k ústní části zkoušky. Reflexe testu a doplňující otázky proběhnou v rámci ústní části zkoušky.</w:t>
      </w:r>
    </w:p>
    <w:p w:rsidR="003C5504" w:rsidRPr="009F71E7" w:rsidRDefault="007D6C24" w:rsidP="007D6C24">
      <w:pPr>
        <w:pStyle w:val="Zkladntext"/>
        <w:spacing w:before="1" w:line="360" w:lineRule="auto"/>
        <w:ind w:right="117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 xml:space="preserve">Doba k napsání testu je 2 </w:t>
      </w:r>
      <w:r w:rsidRPr="009F71E7">
        <w:rPr>
          <w:rFonts w:asciiTheme="minorHAnsi" w:hAnsiTheme="minorHAnsi" w:cstheme="minorHAnsi"/>
          <w:spacing w:val="-3"/>
        </w:rPr>
        <w:t xml:space="preserve">hodiny. </w:t>
      </w:r>
      <w:r w:rsidRPr="009F71E7">
        <w:rPr>
          <w:rFonts w:asciiTheme="minorHAnsi" w:hAnsiTheme="minorHAnsi" w:cstheme="minorHAnsi"/>
        </w:rPr>
        <w:t xml:space="preserve">Jednotlivé části testu jsou </w:t>
      </w:r>
      <w:r w:rsidRPr="009F71E7">
        <w:rPr>
          <w:rFonts w:asciiTheme="minorHAnsi" w:hAnsiTheme="minorHAnsi" w:cstheme="minorHAnsi"/>
          <w:spacing w:val="-3"/>
        </w:rPr>
        <w:t xml:space="preserve">bodovány, </w:t>
      </w:r>
      <w:r w:rsidRPr="009F71E7">
        <w:rPr>
          <w:rFonts w:asciiTheme="minorHAnsi" w:hAnsiTheme="minorHAnsi" w:cstheme="minorHAnsi"/>
        </w:rPr>
        <w:t xml:space="preserve">pro uspění je třeba dosáhnout min. 60 bodů ze 100. Písemná část předchází ústní části </w:t>
      </w:r>
      <w:r w:rsidRPr="009F71E7">
        <w:rPr>
          <w:rFonts w:asciiTheme="minorHAnsi" w:hAnsiTheme="minorHAnsi" w:cstheme="minorHAnsi"/>
          <w:spacing w:val="-3"/>
        </w:rPr>
        <w:t xml:space="preserve">zkoušky, </w:t>
      </w:r>
      <w:r w:rsidRPr="009F71E7">
        <w:rPr>
          <w:rFonts w:asciiTheme="minorHAnsi" w:hAnsiTheme="minorHAnsi" w:cstheme="minorHAnsi"/>
        </w:rPr>
        <w:t>nepíše se v týž den</w:t>
      </w:r>
      <w:r>
        <w:rPr>
          <w:rFonts w:asciiTheme="minorHAnsi" w:hAnsiTheme="minorHAnsi" w:cstheme="minorHAnsi"/>
        </w:rPr>
        <w:t>. V případě, že student nezíská</w:t>
      </w:r>
      <w:r w:rsidRPr="009F71E7">
        <w:rPr>
          <w:rFonts w:asciiTheme="minorHAnsi" w:hAnsiTheme="minorHAnsi" w:cstheme="minorHAnsi"/>
        </w:rPr>
        <w:t xml:space="preserve"> z testu 60 bodů, o dalším postupu rozhoduje komise. Kdo uspěje u písemné části, avšak neuspěje </w:t>
      </w:r>
      <w:r>
        <w:rPr>
          <w:rFonts w:asciiTheme="minorHAnsi" w:hAnsiTheme="minorHAnsi" w:cstheme="minorHAnsi"/>
        </w:rPr>
        <w:br/>
      </w:r>
      <w:r w:rsidRPr="009F71E7">
        <w:rPr>
          <w:rFonts w:asciiTheme="minorHAnsi" w:hAnsiTheme="minorHAnsi" w:cstheme="minorHAnsi"/>
        </w:rPr>
        <w:t>u části ústní, musí opakovat zkoušku v celém rozsahu (včetně písemné části). Celkové hodnocení státní zkoušky bere v potaz stejnou měrou test a ústní</w:t>
      </w:r>
      <w:r w:rsidRPr="009F71E7">
        <w:rPr>
          <w:rFonts w:asciiTheme="minorHAnsi" w:hAnsiTheme="minorHAnsi" w:cstheme="minorHAnsi"/>
          <w:spacing w:val="-5"/>
        </w:rPr>
        <w:t xml:space="preserve"> </w:t>
      </w:r>
      <w:r w:rsidRPr="009F71E7">
        <w:rPr>
          <w:rFonts w:asciiTheme="minorHAnsi" w:hAnsiTheme="minorHAnsi" w:cstheme="minorHAnsi"/>
        </w:rPr>
        <w:t>část.</w:t>
      </w:r>
    </w:p>
    <w:p w:rsidR="003C5504" w:rsidRPr="009F71E7" w:rsidRDefault="003C5504" w:rsidP="007D6C24">
      <w:pPr>
        <w:pStyle w:val="Zkladntext"/>
        <w:ind w:left="0"/>
        <w:jc w:val="left"/>
        <w:rPr>
          <w:rFonts w:asciiTheme="minorHAnsi" w:hAnsiTheme="minorHAnsi" w:cstheme="minorHAnsi"/>
        </w:rPr>
      </w:pPr>
    </w:p>
    <w:p w:rsidR="003C5504" w:rsidRPr="009F71E7" w:rsidRDefault="007D6C24" w:rsidP="007D6C24">
      <w:pPr>
        <w:pStyle w:val="Nadpis1"/>
        <w:spacing w:before="186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>Ústní část státní závěrečné</w:t>
      </w:r>
      <w:r w:rsidRPr="009F71E7">
        <w:rPr>
          <w:rFonts w:asciiTheme="minorHAnsi" w:hAnsiTheme="minorHAnsi" w:cstheme="minorHAnsi"/>
          <w:spacing w:val="-22"/>
        </w:rPr>
        <w:t xml:space="preserve"> </w:t>
      </w:r>
      <w:r w:rsidRPr="009F71E7">
        <w:rPr>
          <w:rFonts w:asciiTheme="minorHAnsi" w:hAnsiTheme="minorHAnsi" w:cstheme="minorHAnsi"/>
        </w:rPr>
        <w:t>zkoušky</w:t>
      </w:r>
    </w:p>
    <w:p w:rsidR="003C5504" w:rsidRPr="009F71E7" w:rsidRDefault="007D6C24" w:rsidP="0074635F">
      <w:pPr>
        <w:pStyle w:val="Zkladntext"/>
        <w:spacing w:before="157" w:line="360" w:lineRule="auto"/>
        <w:ind w:right="115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>Podmínkou připuštění k ústní zkoušce z literatury je předlož</w:t>
      </w:r>
      <w:r>
        <w:rPr>
          <w:rFonts w:asciiTheme="minorHAnsi" w:hAnsiTheme="minorHAnsi" w:cstheme="minorHAnsi"/>
        </w:rPr>
        <w:t xml:space="preserve">ení seznamu četby koncipovaného v souladu </w:t>
      </w:r>
      <w:r>
        <w:rPr>
          <w:rFonts w:asciiTheme="minorHAnsi" w:hAnsiTheme="minorHAnsi" w:cstheme="minorHAnsi"/>
        </w:rPr>
        <w:br/>
      </w:r>
      <w:r w:rsidRPr="009F71E7">
        <w:rPr>
          <w:rFonts w:asciiTheme="minorHAnsi" w:hAnsiTheme="minorHAnsi" w:cstheme="minorHAnsi"/>
        </w:rPr>
        <w:t xml:space="preserve">s jednotlivými tematickými okruhy. Každý okruh musí </w:t>
      </w:r>
      <w:r w:rsidRPr="009F71E7">
        <w:rPr>
          <w:rFonts w:asciiTheme="minorHAnsi" w:hAnsiTheme="minorHAnsi" w:cstheme="minorHAnsi"/>
          <w:spacing w:val="-2"/>
        </w:rPr>
        <w:t xml:space="preserve">být </w:t>
      </w:r>
      <w:r w:rsidRPr="009F71E7">
        <w:rPr>
          <w:rFonts w:asciiTheme="minorHAnsi" w:hAnsiTheme="minorHAnsi" w:cstheme="minorHAnsi"/>
        </w:rPr>
        <w:t>zastoupen minimá</w:t>
      </w:r>
      <w:r>
        <w:rPr>
          <w:rFonts w:asciiTheme="minorHAnsi" w:hAnsiTheme="minorHAnsi" w:cstheme="minorHAnsi"/>
        </w:rPr>
        <w:t xml:space="preserve">lně </w:t>
      </w:r>
      <w:r w:rsidR="0085567E">
        <w:rPr>
          <w:rFonts w:asciiTheme="minorHAnsi" w:hAnsiTheme="minorHAnsi" w:cstheme="minorHAnsi"/>
        </w:rPr>
        <w:t>třemi</w:t>
      </w:r>
      <w:r>
        <w:rPr>
          <w:rFonts w:asciiTheme="minorHAnsi" w:hAnsiTheme="minorHAnsi" w:cstheme="minorHAnsi"/>
        </w:rPr>
        <w:t xml:space="preserve"> beletristickými tituly</w:t>
      </w:r>
      <w:r w:rsidRPr="009F71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9F71E7">
        <w:rPr>
          <w:rFonts w:asciiTheme="minorHAnsi" w:hAnsiTheme="minorHAnsi" w:cstheme="minorHAnsi"/>
        </w:rPr>
        <w:t>a dvěma položkami sekundární literatury (monografie, studie, č</w:t>
      </w:r>
      <w:r>
        <w:rPr>
          <w:rFonts w:asciiTheme="minorHAnsi" w:hAnsiTheme="minorHAnsi" w:cstheme="minorHAnsi"/>
        </w:rPr>
        <w:t xml:space="preserve">lánky, hesla z kvalitní oborové </w:t>
      </w:r>
      <w:r w:rsidRPr="009F71E7">
        <w:rPr>
          <w:rFonts w:asciiTheme="minorHAnsi" w:hAnsiTheme="minorHAnsi" w:cstheme="minorHAnsi"/>
        </w:rPr>
        <w:t>encyklopedie). Nesmí se jednat o obecné příručky. Některé položky sekundární literatury mohou být shodné u více okruhů, ale musí se jednat o takovou sekundární literaturu, která se zcela nebo zejména týká daného okruhu. Základní tituly z oblasti beletrie (</w:t>
      </w:r>
      <w:r w:rsidR="0085567E">
        <w:rPr>
          <w:rFonts w:asciiTheme="minorHAnsi" w:hAnsiTheme="minorHAnsi" w:cstheme="minorHAnsi"/>
        </w:rPr>
        <w:t>tři</w:t>
      </w:r>
      <w:r w:rsidRPr="009F71E7">
        <w:rPr>
          <w:rFonts w:asciiTheme="minorHAnsi" w:hAnsiTheme="minorHAnsi" w:cstheme="minorHAnsi"/>
        </w:rPr>
        <w:t xml:space="preserve"> položk</w:t>
      </w:r>
      <w:r w:rsidR="0085567E">
        <w:rPr>
          <w:rFonts w:asciiTheme="minorHAnsi" w:hAnsiTheme="minorHAnsi" w:cstheme="minorHAnsi"/>
        </w:rPr>
        <w:t>y</w:t>
      </w:r>
      <w:r w:rsidRPr="009F71E7">
        <w:rPr>
          <w:rFonts w:asciiTheme="minorHAnsi" w:hAnsiTheme="minorHAnsi" w:cstheme="minorHAnsi"/>
        </w:rPr>
        <w:t>) musejí být u všech okruhů rozdílné, další díla mohou být zastoupena ve více tématech. Seznam četby bude vypracován v souladu s citační normou</w:t>
      </w:r>
      <w:r w:rsidRPr="009F71E7">
        <w:rPr>
          <w:rFonts w:asciiTheme="minorHAnsi" w:hAnsiTheme="minorHAnsi" w:cstheme="minorHAnsi"/>
          <w:spacing w:val="-12"/>
        </w:rPr>
        <w:t xml:space="preserve"> </w:t>
      </w:r>
      <w:r w:rsidRPr="009F71E7">
        <w:rPr>
          <w:rFonts w:asciiTheme="minorHAnsi" w:hAnsiTheme="minorHAnsi" w:cstheme="minorHAnsi"/>
        </w:rPr>
        <w:t>VŠKK.</w:t>
      </w:r>
    </w:p>
    <w:p w:rsidR="003C5504" w:rsidRPr="00BF7AFE" w:rsidRDefault="007D6C24" w:rsidP="007D6C24">
      <w:pPr>
        <w:pStyle w:val="Zkladntext"/>
        <w:spacing w:line="360" w:lineRule="auto"/>
        <w:ind w:right="113"/>
        <w:jc w:val="left"/>
        <w:rPr>
          <w:rFonts w:asciiTheme="minorHAnsi" w:hAnsiTheme="minorHAnsi" w:cstheme="minorHAnsi"/>
          <w:u w:val="single"/>
        </w:rPr>
      </w:pPr>
      <w:r w:rsidRPr="00BF7AFE">
        <w:rPr>
          <w:rFonts w:asciiTheme="minorHAnsi" w:hAnsiTheme="minorHAnsi" w:cstheme="minorHAnsi"/>
        </w:rPr>
        <w:t>Zkouška bude probíhat formou výkladu (cca 10 minut) k vylosovanému okruhu.</w:t>
      </w:r>
      <w:r w:rsidRPr="009F71E7">
        <w:rPr>
          <w:rFonts w:asciiTheme="minorHAnsi" w:hAnsiTheme="minorHAnsi" w:cstheme="minorHAnsi"/>
        </w:rPr>
        <w:t xml:space="preserve"> Primární je literárněhistorická část otázky, k jejímu zpracování je nutné využít instrumentář literárněteoretické části. Součástí hodnocení bude kompozice výkladu, správné používání terminologie, propojení vlastní četby a</w:t>
      </w:r>
      <w:r w:rsidR="0074635F">
        <w:rPr>
          <w:rFonts w:asciiTheme="minorHAnsi" w:hAnsiTheme="minorHAnsi" w:cstheme="minorHAnsi"/>
        </w:rPr>
        <w:t> </w:t>
      </w:r>
      <w:r w:rsidRPr="009F71E7">
        <w:rPr>
          <w:rFonts w:asciiTheme="minorHAnsi" w:hAnsiTheme="minorHAnsi" w:cstheme="minorHAnsi"/>
        </w:rPr>
        <w:t xml:space="preserve">nastudované sekundární literatury, kultivovanost projevu. </w:t>
      </w:r>
      <w:r w:rsidRPr="00BF7AFE">
        <w:rPr>
          <w:rFonts w:asciiTheme="minorHAnsi" w:hAnsiTheme="minorHAnsi" w:cstheme="minorHAnsi"/>
          <w:u w:val="single"/>
        </w:rPr>
        <w:t>Ústní zkouška je časově omezena na cca 30</w:t>
      </w:r>
      <w:r w:rsidRPr="00BF7AFE">
        <w:rPr>
          <w:rFonts w:asciiTheme="minorHAnsi" w:hAnsiTheme="minorHAnsi" w:cstheme="minorHAnsi"/>
          <w:spacing w:val="-4"/>
          <w:u w:val="single"/>
        </w:rPr>
        <w:t xml:space="preserve"> </w:t>
      </w:r>
      <w:r w:rsidRPr="00BF7AFE">
        <w:rPr>
          <w:rFonts w:asciiTheme="minorHAnsi" w:hAnsiTheme="minorHAnsi" w:cstheme="minorHAnsi"/>
          <w:u w:val="single"/>
        </w:rPr>
        <w:t>minut.</w:t>
      </w:r>
    </w:p>
    <w:p w:rsidR="003C5504" w:rsidRDefault="003C5504">
      <w:pPr>
        <w:spacing w:line="360" w:lineRule="auto"/>
        <w:sectPr w:rsidR="003C5504">
          <w:type w:val="continuous"/>
          <w:pgSz w:w="11910" w:h="16840"/>
          <w:pgMar w:top="640" w:right="600" w:bottom="280" w:left="620" w:header="708" w:footer="708" w:gutter="0"/>
          <w:cols w:space="708"/>
        </w:sectPr>
      </w:pPr>
    </w:p>
    <w:p w:rsidR="00CC5CCA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72"/>
        </w:tabs>
        <w:spacing w:before="68" w:line="362" w:lineRule="auto"/>
        <w:ind w:right="119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lastRenderedPageBreak/>
        <w:t>Konflikt člověka a řádu ve Starém zákoně. Kompozice a žánrová struktura Bible.</w:t>
      </w:r>
    </w:p>
    <w:p w:rsidR="003C5504" w:rsidRPr="00D45E7C" w:rsidRDefault="00CC5CCA" w:rsidP="00D45E7C">
      <w:pPr>
        <w:pStyle w:val="Odstavecseseznamem"/>
        <w:numPr>
          <w:ilvl w:val="0"/>
          <w:numId w:val="2"/>
        </w:numPr>
        <w:tabs>
          <w:tab w:val="left" w:pos="372"/>
        </w:tabs>
        <w:spacing w:before="68" w:line="362" w:lineRule="auto"/>
        <w:ind w:right="119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Konflikt člověka a řádu v antickém dramatu. H</w:t>
      </w:r>
      <w:r w:rsidR="007D6C24" w:rsidRPr="00D45E7C">
        <w:rPr>
          <w:rFonts w:asciiTheme="minorHAnsi" w:hAnsiTheme="minorHAnsi" w:cstheme="minorHAnsi"/>
          <w:sz w:val="24"/>
        </w:rPr>
        <w:t>omérský styl</w:t>
      </w:r>
      <w:r w:rsidR="007D6C24" w:rsidRPr="00D45E7C">
        <w:rPr>
          <w:rFonts w:asciiTheme="minorHAnsi" w:hAnsiTheme="minorHAnsi" w:cstheme="minorHAnsi"/>
          <w:spacing w:val="-6"/>
          <w:sz w:val="24"/>
        </w:rPr>
        <w:t xml:space="preserve"> </w:t>
      </w:r>
      <w:r w:rsidR="007D6C24" w:rsidRPr="00D45E7C">
        <w:rPr>
          <w:rFonts w:asciiTheme="minorHAnsi" w:hAnsiTheme="minorHAnsi" w:cstheme="minorHAnsi"/>
          <w:sz w:val="24"/>
        </w:rPr>
        <w:t>vyprávění.</w:t>
      </w:r>
    </w:p>
    <w:p w:rsidR="00CC5CCA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64"/>
        </w:tabs>
        <w:spacing w:before="115" w:line="360" w:lineRule="auto"/>
        <w:ind w:right="119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Základní podoby příběhovosti (mýtus a starověký epos). </w:t>
      </w:r>
      <w:r w:rsidR="00825352">
        <w:rPr>
          <w:rFonts w:asciiTheme="minorHAnsi" w:hAnsiTheme="minorHAnsi" w:cstheme="minorHAnsi"/>
          <w:sz w:val="24"/>
        </w:rPr>
        <w:t>M</w:t>
      </w:r>
      <w:r w:rsidRPr="00D45E7C">
        <w:rPr>
          <w:rFonts w:asciiTheme="minorHAnsi" w:hAnsiTheme="minorHAnsi" w:cstheme="minorHAnsi"/>
          <w:sz w:val="24"/>
        </w:rPr>
        <w:t>ýtu</w:t>
      </w:r>
      <w:r w:rsidR="00825352">
        <w:rPr>
          <w:rFonts w:asciiTheme="minorHAnsi" w:hAnsiTheme="minorHAnsi" w:cstheme="minorHAnsi"/>
          <w:sz w:val="24"/>
        </w:rPr>
        <w:t>s, mytický svět, literární mýtus</w:t>
      </w:r>
      <w:r w:rsidRPr="00D45E7C">
        <w:rPr>
          <w:rFonts w:asciiTheme="minorHAnsi" w:hAnsiTheme="minorHAnsi" w:cstheme="minorHAnsi"/>
          <w:sz w:val="24"/>
        </w:rPr>
        <w:t>.</w:t>
      </w:r>
    </w:p>
    <w:p w:rsidR="003C5504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64"/>
        </w:tabs>
        <w:spacing w:before="115" w:line="360" w:lineRule="auto"/>
        <w:ind w:right="119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Aktualizace starověkých mýtů v moderní literatuře, moderní mýty.</w:t>
      </w:r>
      <w:r w:rsidR="00D45E7C">
        <w:rPr>
          <w:rFonts w:asciiTheme="minorHAnsi" w:hAnsiTheme="minorHAnsi" w:cstheme="minorHAnsi"/>
          <w:sz w:val="24"/>
        </w:rPr>
        <w:t xml:space="preserve"> Kompozice literárního díla.</w:t>
      </w:r>
    </w:p>
    <w:p w:rsidR="003C5504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432"/>
        </w:tabs>
        <w:spacing w:line="360" w:lineRule="auto"/>
        <w:ind w:right="118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Středověká hrdinská epika. Rytíř jako literární typ, mravní rozměr vyprávění, narativní schéma středověkých hrdinských příběhů a jejich historický kontext. Topos cesty v evropské</w:t>
      </w:r>
      <w:r w:rsidRPr="00D45E7C">
        <w:rPr>
          <w:rFonts w:asciiTheme="minorHAnsi" w:hAnsiTheme="minorHAnsi" w:cstheme="minorHAnsi"/>
          <w:spacing w:val="-8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literatuře.</w:t>
      </w:r>
    </w:p>
    <w:p w:rsidR="003C5504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432"/>
        </w:tabs>
        <w:spacing w:before="121" w:line="360" w:lineRule="auto"/>
        <w:ind w:right="116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Křesťanské obrazy světa v Dantově </w:t>
      </w:r>
      <w:r w:rsidRPr="00D45E7C">
        <w:rPr>
          <w:rFonts w:asciiTheme="minorHAnsi" w:hAnsiTheme="minorHAnsi" w:cstheme="minorHAnsi"/>
          <w:i/>
          <w:sz w:val="24"/>
        </w:rPr>
        <w:t>Božské komedii</w:t>
      </w:r>
      <w:r w:rsidRPr="00D45E7C">
        <w:rPr>
          <w:rFonts w:asciiTheme="minorHAnsi" w:hAnsiTheme="minorHAnsi" w:cstheme="minorHAnsi"/>
          <w:sz w:val="24"/>
        </w:rPr>
        <w:t xml:space="preserve">, Boccacciově </w:t>
      </w:r>
      <w:r w:rsidRPr="00D45E7C">
        <w:rPr>
          <w:rFonts w:asciiTheme="minorHAnsi" w:hAnsiTheme="minorHAnsi" w:cstheme="minorHAnsi"/>
          <w:i/>
          <w:sz w:val="24"/>
        </w:rPr>
        <w:t xml:space="preserve">Dekameronu </w:t>
      </w:r>
      <w:r w:rsidRPr="00D45E7C">
        <w:rPr>
          <w:rFonts w:asciiTheme="minorHAnsi" w:hAnsiTheme="minorHAnsi" w:cstheme="minorHAnsi"/>
          <w:sz w:val="24"/>
        </w:rPr>
        <w:t xml:space="preserve">a Chaucerových </w:t>
      </w:r>
      <w:r w:rsidRPr="00D45E7C">
        <w:rPr>
          <w:rFonts w:asciiTheme="minorHAnsi" w:hAnsiTheme="minorHAnsi" w:cstheme="minorHAnsi"/>
          <w:i/>
          <w:sz w:val="24"/>
        </w:rPr>
        <w:t>Canterburských povídkách</w:t>
      </w:r>
      <w:r w:rsidRPr="00D45E7C">
        <w:rPr>
          <w:rFonts w:asciiTheme="minorHAnsi" w:hAnsiTheme="minorHAnsi" w:cstheme="minorHAnsi"/>
          <w:sz w:val="24"/>
        </w:rPr>
        <w:t>. Tematická, resp. motivická výstavba děl, kompozice, čas a prostor v</w:t>
      </w:r>
      <w:r w:rsidR="00582171">
        <w:rPr>
          <w:rFonts w:asciiTheme="minorHAnsi" w:hAnsiTheme="minorHAnsi" w:cstheme="minorHAnsi"/>
          <w:sz w:val="24"/>
        </w:rPr>
        <w:t> </w:t>
      </w:r>
      <w:r w:rsidRPr="00D45E7C">
        <w:rPr>
          <w:rFonts w:asciiTheme="minorHAnsi" w:hAnsiTheme="minorHAnsi" w:cstheme="minorHAnsi"/>
          <w:sz w:val="24"/>
        </w:rPr>
        <w:t>literárním díle.</w:t>
      </w:r>
    </w:p>
    <w:p w:rsidR="00BA5D63" w:rsidRPr="00D45E7C" w:rsidRDefault="00BA5D63" w:rsidP="00D45E7C">
      <w:pPr>
        <w:pStyle w:val="Odstavecseseznamem"/>
        <w:numPr>
          <w:ilvl w:val="0"/>
          <w:numId w:val="2"/>
        </w:numPr>
        <w:tabs>
          <w:tab w:val="left" w:pos="415"/>
        </w:tabs>
        <w:spacing w:line="360" w:lineRule="auto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Thomas More, </w:t>
      </w:r>
      <w:r w:rsidRPr="00D45E7C">
        <w:rPr>
          <w:rFonts w:asciiTheme="minorHAnsi" w:hAnsiTheme="minorHAnsi" w:cstheme="minorHAnsi"/>
          <w:i/>
          <w:sz w:val="24"/>
        </w:rPr>
        <w:t>Utopie</w:t>
      </w:r>
      <w:r w:rsidRPr="00D45E7C">
        <w:rPr>
          <w:rFonts w:asciiTheme="minorHAnsi" w:hAnsiTheme="minorHAnsi" w:cstheme="minorHAnsi"/>
          <w:sz w:val="24"/>
        </w:rPr>
        <w:t>: Od utopie k</w:t>
      </w:r>
      <w:r w:rsidR="00D45E7C" w:rsidRPr="00D45E7C">
        <w:rPr>
          <w:rFonts w:asciiTheme="minorHAnsi" w:hAnsiTheme="minorHAnsi" w:cstheme="minorHAnsi"/>
          <w:sz w:val="24"/>
        </w:rPr>
        <w:t> </w:t>
      </w:r>
      <w:r w:rsidRPr="00D45E7C">
        <w:rPr>
          <w:rFonts w:asciiTheme="minorHAnsi" w:hAnsiTheme="minorHAnsi" w:cstheme="minorHAnsi"/>
          <w:sz w:val="24"/>
        </w:rPr>
        <w:t>dystopii</w:t>
      </w:r>
      <w:r w:rsidR="00D45E7C" w:rsidRPr="00D45E7C">
        <w:rPr>
          <w:rFonts w:asciiTheme="minorHAnsi" w:hAnsiTheme="minorHAnsi" w:cstheme="minorHAnsi"/>
          <w:sz w:val="24"/>
        </w:rPr>
        <w:t xml:space="preserve"> (žánrové rysy utopie a dystopie, jejich české podoby). Problematika fikčnosti (fikční a aktuální svět, mimeze).</w:t>
      </w:r>
    </w:p>
    <w:p w:rsidR="003C5504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415"/>
        </w:tabs>
        <w:spacing w:line="360" w:lineRule="auto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Kořeny moderního románu: Cervantesův </w:t>
      </w:r>
      <w:r w:rsidRPr="00D45E7C">
        <w:rPr>
          <w:rFonts w:asciiTheme="minorHAnsi" w:hAnsiTheme="minorHAnsi" w:cstheme="minorHAnsi"/>
          <w:i/>
          <w:sz w:val="24"/>
        </w:rPr>
        <w:t>Don Quijote</w:t>
      </w:r>
      <w:r w:rsidRPr="00D45E7C">
        <w:rPr>
          <w:rFonts w:asciiTheme="minorHAnsi" w:hAnsiTheme="minorHAnsi" w:cstheme="minorHAnsi"/>
          <w:sz w:val="24"/>
        </w:rPr>
        <w:t xml:space="preserve">, </w:t>
      </w:r>
      <w:r w:rsidR="008C68B1" w:rsidRPr="00D45E7C">
        <w:rPr>
          <w:rFonts w:asciiTheme="minorHAnsi" w:hAnsiTheme="minorHAnsi" w:cstheme="minorHAnsi"/>
          <w:sz w:val="24"/>
        </w:rPr>
        <w:t xml:space="preserve">Defoeův </w:t>
      </w:r>
      <w:r w:rsidR="008C68B1" w:rsidRPr="00D45E7C">
        <w:rPr>
          <w:rFonts w:asciiTheme="minorHAnsi" w:hAnsiTheme="minorHAnsi" w:cstheme="minorHAnsi"/>
          <w:i/>
          <w:sz w:val="24"/>
        </w:rPr>
        <w:t>Robinson Crusoe</w:t>
      </w:r>
      <w:r w:rsidR="008C68B1">
        <w:rPr>
          <w:rFonts w:asciiTheme="minorHAnsi" w:hAnsiTheme="minorHAnsi" w:cstheme="minorHAnsi"/>
          <w:i/>
          <w:sz w:val="24"/>
        </w:rPr>
        <w:t>,</w:t>
      </w:r>
      <w:r w:rsidR="008C68B1" w:rsidRPr="00D45E7C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 xml:space="preserve">Voltairův </w:t>
      </w:r>
      <w:r w:rsidRPr="00D45E7C">
        <w:rPr>
          <w:rFonts w:asciiTheme="minorHAnsi" w:hAnsiTheme="minorHAnsi" w:cstheme="minorHAnsi"/>
          <w:i/>
          <w:sz w:val="24"/>
        </w:rPr>
        <w:t>Candide</w:t>
      </w:r>
      <w:r w:rsidRPr="00D45E7C">
        <w:rPr>
          <w:rFonts w:asciiTheme="minorHAnsi" w:hAnsiTheme="minorHAnsi" w:cstheme="minorHAnsi"/>
          <w:sz w:val="24"/>
        </w:rPr>
        <w:t xml:space="preserve">, de Laclosovy </w:t>
      </w:r>
      <w:r w:rsidRPr="00D45E7C">
        <w:rPr>
          <w:rFonts w:asciiTheme="minorHAnsi" w:hAnsiTheme="minorHAnsi" w:cstheme="minorHAnsi"/>
          <w:i/>
          <w:sz w:val="24"/>
        </w:rPr>
        <w:t>Nebezpečné známosti</w:t>
      </w:r>
      <w:r w:rsidRPr="00D45E7C">
        <w:rPr>
          <w:rFonts w:asciiTheme="minorHAnsi" w:hAnsiTheme="minorHAnsi" w:cstheme="minorHAnsi"/>
          <w:sz w:val="24"/>
        </w:rPr>
        <w:t xml:space="preserve">, Goethovo </w:t>
      </w:r>
      <w:r w:rsidRPr="00D45E7C">
        <w:rPr>
          <w:rFonts w:asciiTheme="minorHAnsi" w:hAnsiTheme="minorHAnsi" w:cstheme="minorHAnsi"/>
          <w:i/>
          <w:sz w:val="24"/>
        </w:rPr>
        <w:t xml:space="preserve">Spříznění volbou. </w:t>
      </w:r>
      <w:r w:rsidR="00BA5D63" w:rsidRPr="00D45E7C">
        <w:rPr>
          <w:rFonts w:asciiTheme="minorHAnsi" w:hAnsiTheme="minorHAnsi" w:cstheme="minorHAnsi"/>
          <w:sz w:val="24"/>
        </w:rPr>
        <w:t>Román jako žánr, jeho subžánry.</w:t>
      </w:r>
    </w:p>
    <w:p w:rsidR="003B60FE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47"/>
        </w:tabs>
        <w:spacing w:line="360" w:lineRule="auto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Od Shakespeara k </w:t>
      </w:r>
      <w:r w:rsidR="003B60FE" w:rsidRPr="00D45E7C">
        <w:rPr>
          <w:rFonts w:asciiTheme="minorHAnsi" w:hAnsiTheme="minorHAnsi" w:cstheme="minorHAnsi"/>
          <w:sz w:val="24"/>
        </w:rPr>
        <w:t>Ibsenovi</w:t>
      </w:r>
      <w:r w:rsidRPr="00D45E7C">
        <w:rPr>
          <w:rFonts w:asciiTheme="minorHAnsi" w:hAnsiTheme="minorHAnsi" w:cstheme="minorHAnsi"/>
          <w:sz w:val="24"/>
        </w:rPr>
        <w:t xml:space="preserve">. Proměny dramatu od raného novověku do </w:t>
      </w:r>
      <w:r w:rsidR="003B60FE" w:rsidRPr="00D45E7C">
        <w:rPr>
          <w:rFonts w:asciiTheme="minorHAnsi" w:hAnsiTheme="minorHAnsi" w:cstheme="minorHAnsi"/>
          <w:sz w:val="24"/>
        </w:rPr>
        <w:t>druhé poloviny 19. století</w:t>
      </w:r>
      <w:r w:rsidRPr="00D45E7C">
        <w:rPr>
          <w:rFonts w:asciiTheme="minorHAnsi" w:hAnsiTheme="minorHAnsi" w:cstheme="minorHAnsi"/>
          <w:sz w:val="24"/>
        </w:rPr>
        <w:t>. Stírání hranic mezi komičnem a tragičnem, dramatické žánry, specifika poetiky dramatu a jeho aktualizace v realismu.</w:t>
      </w:r>
    </w:p>
    <w:p w:rsidR="003C5504" w:rsidRPr="00D45E7C" w:rsidRDefault="003B60FE" w:rsidP="00D45E7C">
      <w:pPr>
        <w:pStyle w:val="Odstavecseseznamem"/>
        <w:numPr>
          <w:ilvl w:val="0"/>
          <w:numId w:val="2"/>
        </w:numPr>
        <w:tabs>
          <w:tab w:val="left" w:pos="347"/>
        </w:tabs>
        <w:spacing w:line="360" w:lineRule="auto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Moderní drama do poloviny 20. století. </w:t>
      </w:r>
      <w:r w:rsidR="007D6C24" w:rsidRPr="00D45E7C">
        <w:rPr>
          <w:rFonts w:asciiTheme="minorHAnsi" w:hAnsiTheme="minorHAnsi" w:cstheme="minorHAnsi"/>
          <w:sz w:val="24"/>
        </w:rPr>
        <w:t>Efekt odcizení a vztah mezi monologem a dialogem v</w:t>
      </w:r>
      <w:r w:rsidR="008C68B1">
        <w:rPr>
          <w:rFonts w:asciiTheme="minorHAnsi" w:hAnsiTheme="minorHAnsi" w:cstheme="minorHAnsi"/>
          <w:sz w:val="24"/>
        </w:rPr>
        <w:t> </w:t>
      </w:r>
      <w:r w:rsidR="007D6C24" w:rsidRPr="00D45E7C">
        <w:rPr>
          <w:rFonts w:asciiTheme="minorHAnsi" w:hAnsiTheme="minorHAnsi" w:cstheme="minorHAnsi"/>
          <w:sz w:val="24"/>
        </w:rPr>
        <w:t>moderním dramatu.</w:t>
      </w:r>
    </w:p>
    <w:p w:rsidR="008C68B1" w:rsidRPr="00D45E7C" w:rsidRDefault="008C68B1" w:rsidP="008C68B1">
      <w:pPr>
        <w:pStyle w:val="Odstavecseseznamem"/>
        <w:numPr>
          <w:ilvl w:val="0"/>
          <w:numId w:val="2"/>
        </w:numPr>
        <w:tabs>
          <w:tab w:val="left" w:pos="379"/>
        </w:tabs>
        <w:spacing w:before="122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Lidová slovesnost a její místo v národních literaturách evropského </w:t>
      </w:r>
      <w:r>
        <w:rPr>
          <w:rFonts w:asciiTheme="minorHAnsi" w:hAnsiTheme="minorHAnsi" w:cstheme="minorHAnsi"/>
          <w:sz w:val="24"/>
        </w:rPr>
        <w:t xml:space="preserve">preromantismu a </w:t>
      </w:r>
      <w:r w:rsidRPr="00D45E7C">
        <w:rPr>
          <w:rFonts w:asciiTheme="minorHAnsi" w:hAnsiTheme="minorHAnsi" w:cstheme="minorHAnsi"/>
          <w:sz w:val="24"/>
        </w:rPr>
        <w:t xml:space="preserve">romantismu. </w:t>
      </w:r>
      <w:r w:rsidR="00825352">
        <w:rPr>
          <w:rFonts w:asciiTheme="minorHAnsi" w:hAnsiTheme="minorHAnsi" w:cstheme="minorHAnsi"/>
          <w:sz w:val="24"/>
        </w:rPr>
        <w:t>Ž</w:t>
      </w:r>
      <w:r w:rsidR="00825352" w:rsidRPr="00D45E7C">
        <w:rPr>
          <w:rFonts w:asciiTheme="minorHAnsi" w:hAnsiTheme="minorHAnsi" w:cstheme="minorHAnsi"/>
          <w:sz w:val="24"/>
        </w:rPr>
        <w:t xml:space="preserve">ánry </w:t>
      </w:r>
      <w:r w:rsidR="00825352">
        <w:rPr>
          <w:rFonts w:asciiTheme="minorHAnsi" w:hAnsiTheme="minorHAnsi" w:cstheme="minorHAnsi"/>
          <w:sz w:val="24"/>
        </w:rPr>
        <w:t>slovesného f</w:t>
      </w:r>
      <w:r w:rsidRPr="00D45E7C">
        <w:rPr>
          <w:rFonts w:asciiTheme="minorHAnsi" w:hAnsiTheme="minorHAnsi" w:cstheme="minorHAnsi"/>
          <w:sz w:val="24"/>
        </w:rPr>
        <w:t>olklor</w:t>
      </w:r>
      <w:r w:rsidR="00825352">
        <w:rPr>
          <w:rFonts w:asciiTheme="minorHAnsi" w:hAnsiTheme="minorHAnsi" w:cstheme="minorHAnsi"/>
          <w:sz w:val="24"/>
        </w:rPr>
        <w:t>u</w:t>
      </w:r>
      <w:r w:rsidRPr="00D45E7C">
        <w:rPr>
          <w:rFonts w:asciiTheme="minorHAnsi" w:hAnsiTheme="minorHAnsi" w:cstheme="minorHAnsi"/>
          <w:sz w:val="24"/>
        </w:rPr>
        <w:t>.</w:t>
      </w:r>
    </w:p>
    <w:p w:rsidR="003C5504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79"/>
        </w:tabs>
        <w:spacing w:before="122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Fenomén národního obrození v kontextu </w:t>
      </w:r>
      <w:r w:rsidR="00825352">
        <w:rPr>
          <w:rFonts w:asciiTheme="minorHAnsi" w:hAnsiTheme="minorHAnsi" w:cstheme="minorHAnsi"/>
          <w:sz w:val="24"/>
        </w:rPr>
        <w:t>dobových uměleckých</w:t>
      </w:r>
      <w:r w:rsidRPr="00D45E7C">
        <w:rPr>
          <w:rFonts w:asciiTheme="minorHAnsi" w:hAnsiTheme="minorHAnsi" w:cstheme="minorHAnsi"/>
          <w:sz w:val="24"/>
        </w:rPr>
        <w:t xml:space="preserve">. Specifika českého národního obrození. </w:t>
      </w:r>
      <w:r w:rsidR="00BA5D63" w:rsidRPr="00D45E7C">
        <w:rPr>
          <w:rFonts w:asciiTheme="minorHAnsi" w:hAnsiTheme="minorHAnsi" w:cstheme="minorHAnsi"/>
          <w:sz w:val="24"/>
        </w:rPr>
        <w:t>Funkce literatury: Estetická funkce, umění pro umění, tendenční umění.</w:t>
      </w:r>
    </w:p>
    <w:p w:rsidR="00BA5D63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45"/>
        </w:tabs>
        <w:spacing w:before="119" w:line="360" w:lineRule="auto"/>
        <w:ind w:right="118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Romantismus, jeho typy a národní specifika. Preferovan</w:t>
      </w:r>
      <w:r w:rsidR="00BA5D63" w:rsidRPr="00D45E7C">
        <w:rPr>
          <w:rFonts w:asciiTheme="minorHAnsi" w:hAnsiTheme="minorHAnsi" w:cstheme="minorHAnsi"/>
          <w:sz w:val="24"/>
        </w:rPr>
        <w:t>á</w:t>
      </w:r>
      <w:r w:rsidRPr="00D45E7C">
        <w:rPr>
          <w:rFonts w:asciiTheme="minorHAnsi" w:hAnsiTheme="minorHAnsi" w:cstheme="minorHAnsi"/>
          <w:sz w:val="24"/>
        </w:rPr>
        <w:t xml:space="preserve"> témata. Charakteristika vybraných děl ve vztahu k pojmům </w:t>
      </w:r>
      <w:r w:rsidR="00A31F3F">
        <w:rPr>
          <w:rFonts w:asciiTheme="minorHAnsi" w:hAnsiTheme="minorHAnsi" w:cstheme="minorHAnsi"/>
          <w:sz w:val="24"/>
        </w:rPr>
        <w:t xml:space="preserve">lyrika, epika. </w:t>
      </w:r>
    </w:p>
    <w:p w:rsidR="003C5504" w:rsidRPr="00D45E7C" w:rsidRDefault="00D45E7C" w:rsidP="00D45E7C">
      <w:pPr>
        <w:pStyle w:val="Odstavecseseznamem"/>
        <w:numPr>
          <w:ilvl w:val="0"/>
          <w:numId w:val="2"/>
        </w:numPr>
        <w:tabs>
          <w:tab w:val="left" w:pos="345"/>
        </w:tabs>
        <w:spacing w:before="119" w:line="360" w:lineRule="auto"/>
        <w:ind w:right="1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Typologie českého romantismu. </w:t>
      </w:r>
      <w:r w:rsidR="00BA5D63" w:rsidRPr="00D45E7C">
        <w:rPr>
          <w:rFonts w:asciiTheme="minorHAnsi" w:hAnsiTheme="minorHAnsi" w:cstheme="minorHAnsi"/>
          <w:sz w:val="24"/>
        </w:rPr>
        <w:t xml:space="preserve">Romantismus a jeho žánry: </w:t>
      </w:r>
      <w:r w:rsidR="007D6C24" w:rsidRPr="00D45E7C">
        <w:rPr>
          <w:rFonts w:asciiTheme="minorHAnsi" w:hAnsiTheme="minorHAnsi" w:cstheme="minorHAnsi"/>
          <w:sz w:val="24"/>
        </w:rPr>
        <w:t>Pojednání o žánru fantastické povídky, básnické povídky, románu v dopisech, historického románu a básně v próze a jejich specifickém postavení v</w:t>
      </w:r>
      <w:r w:rsidR="007D6C24" w:rsidRPr="00D45E7C">
        <w:rPr>
          <w:rFonts w:asciiTheme="minorHAnsi" w:hAnsiTheme="minorHAnsi" w:cstheme="minorHAnsi"/>
          <w:spacing w:val="-1"/>
          <w:sz w:val="24"/>
        </w:rPr>
        <w:t xml:space="preserve"> </w:t>
      </w:r>
      <w:r w:rsidR="007D6C24" w:rsidRPr="00D45E7C">
        <w:rPr>
          <w:rFonts w:asciiTheme="minorHAnsi" w:hAnsiTheme="minorHAnsi" w:cstheme="minorHAnsi"/>
          <w:sz w:val="24"/>
        </w:rPr>
        <w:t>romantismu.</w:t>
      </w:r>
    </w:p>
    <w:p w:rsidR="00697E59" w:rsidRPr="00D45E7C" w:rsidRDefault="00697E59" w:rsidP="00D45E7C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Evropský </w:t>
      </w:r>
      <w:r w:rsidR="007D6C24" w:rsidRPr="00D45E7C">
        <w:rPr>
          <w:rFonts w:asciiTheme="minorHAnsi" w:hAnsiTheme="minorHAnsi" w:cstheme="minorHAnsi"/>
          <w:sz w:val="24"/>
        </w:rPr>
        <w:t>román</w:t>
      </w:r>
      <w:r w:rsidRPr="00D45E7C">
        <w:rPr>
          <w:rFonts w:asciiTheme="minorHAnsi" w:hAnsiTheme="minorHAnsi" w:cstheme="minorHAnsi"/>
          <w:sz w:val="24"/>
        </w:rPr>
        <w:t xml:space="preserve"> druhé poloviny 19. století</w:t>
      </w:r>
      <w:r w:rsidR="007D6C24" w:rsidRPr="00D45E7C">
        <w:rPr>
          <w:rFonts w:asciiTheme="minorHAnsi" w:hAnsiTheme="minorHAnsi" w:cstheme="minorHAnsi"/>
          <w:sz w:val="24"/>
        </w:rPr>
        <w:t xml:space="preserve"> jako obraz sociální </w:t>
      </w:r>
      <w:r w:rsidR="008C68B1">
        <w:rPr>
          <w:rFonts w:asciiTheme="minorHAnsi" w:hAnsiTheme="minorHAnsi" w:cstheme="minorHAnsi"/>
          <w:sz w:val="24"/>
        </w:rPr>
        <w:t>problematiky</w:t>
      </w:r>
      <w:r w:rsidRPr="00D45E7C">
        <w:rPr>
          <w:rFonts w:asciiTheme="minorHAnsi" w:hAnsiTheme="minorHAnsi" w:cstheme="minorHAnsi"/>
          <w:sz w:val="24"/>
        </w:rPr>
        <w:t xml:space="preserve"> </w:t>
      </w:r>
      <w:r w:rsidR="007D6C24" w:rsidRPr="00D45E7C">
        <w:rPr>
          <w:rFonts w:asciiTheme="minorHAnsi" w:hAnsiTheme="minorHAnsi" w:cstheme="minorHAnsi"/>
          <w:sz w:val="24"/>
        </w:rPr>
        <w:t>a krize identity.</w:t>
      </w:r>
      <w:r w:rsidR="008C13DD" w:rsidRPr="00D45E7C">
        <w:rPr>
          <w:rFonts w:asciiTheme="minorHAnsi" w:hAnsiTheme="minorHAnsi" w:cstheme="minorHAnsi"/>
          <w:sz w:val="24"/>
        </w:rPr>
        <w:t xml:space="preserve"> </w:t>
      </w:r>
      <w:r w:rsidR="00D45E7C" w:rsidRPr="00D45E7C">
        <w:rPr>
          <w:rFonts w:asciiTheme="minorHAnsi" w:hAnsiTheme="minorHAnsi" w:cstheme="minorHAnsi"/>
          <w:sz w:val="24"/>
        </w:rPr>
        <w:t xml:space="preserve">Charakteristika děl ve vztahu k pojmům vypravěč a vyprávěcí situace, </w:t>
      </w:r>
      <w:r w:rsidR="00D45E7C">
        <w:rPr>
          <w:rFonts w:asciiTheme="minorHAnsi" w:hAnsiTheme="minorHAnsi" w:cstheme="minorHAnsi"/>
          <w:sz w:val="24"/>
        </w:rPr>
        <w:t>literární postava</w:t>
      </w:r>
      <w:r w:rsidR="008C13DD" w:rsidRPr="00D45E7C">
        <w:rPr>
          <w:rFonts w:asciiTheme="minorHAnsi" w:hAnsiTheme="minorHAnsi" w:cstheme="minorHAnsi"/>
          <w:sz w:val="24"/>
        </w:rPr>
        <w:t>.</w:t>
      </w:r>
    </w:p>
    <w:p w:rsidR="008C68B1" w:rsidRPr="00D45E7C" w:rsidRDefault="008C68B1" w:rsidP="008C68B1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Od Baudelaira k fin de siecle. Kořeny moderní lyriky a proměny lyrického jazyka v evropské</w:t>
      </w:r>
      <w:r w:rsidRPr="0074635F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poezii Fin de siecle v evropské a české próze. Symbol, alegorie</w:t>
      </w:r>
      <w:r>
        <w:rPr>
          <w:rFonts w:asciiTheme="minorHAnsi" w:hAnsiTheme="minorHAnsi" w:cstheme="minorHAnsi"/>
          <w:sz w:val="24"/>
        </w:rPr>
        <w:t xml:space="preserve">, </w:t>
      </w:r>
      <w:r w:rsidRPr="0074635F">
        <w:rPr>
          <w:rFonts w:asciiTheme="minorHAnsi" w:hAnsiTheme="minorHAnsi" w:cstheme="minorHAnsi"/>
          <w:sz w:val="24"/>
        </w:rPr>
        <w:t>lyrický mluvčí (subjekt).</w:t>
      </w:r>
    </w:p>
    <w:p w:rsidR="008C68B1" w:rsidRPr="00A31F3F" w:rsidRDefault="008C68B1" w:rsidP="008C68B1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lastRenderedPageBreak/>
        <w:t>Avantgarda. Experimenty v básnickém jazyce.</w:t>
      </w:r>
      <w:r>
        <w:rPr>
          <w:rFonts w:asciiTheme="minorHAnsi" w:hAnsiTheme="minorHAnsi" w:cstheme="minorHAnsi"/>
          <w:sz w:val="24"/>
        </w:rPr>
        <w:t xml:space="preserve"> S</w:t>
      </w:r>
      <w:r w:rsidRPr="00D45E7C">
        <w:rPr>
          <w:rFonts w:asciiTheme="minorHAnsi" w:hAnsiTheme="minorHAnsi" w:cstheme="minorHAnsi"/>
          <w:sz w:val="24"/>
        </w:rPr>
        <w:t>émantické gesto, text</w:t>
      </w:r>
      <w:r>
        <w:rPr>
          <w:rFonts w:asciiTheme="minorHAnsi" w:hAnsiTheme="minorHAnsi" w:cstheme="minorHAnsi"/>
          <w:sz w:val="24"/>
        </w:rPr>
        <w:t xml:space="preserve">, </w:t>
      </w:r>
      <w:r w:rsidRPr="00D45E7C">
        <w:rPr>
          <w:rFonts w:asciiTheme="minorHAnsi" w:hAnsiTheme="minorHAnsi" w:cstheme="minorHAnsi"/>
          <w:sz w:val="24"/>
        </w:rPr>
        <w:t>jazyk literatury</w:t>
      </w:r>
      <w:r>
        <w:rPr>
          <w:rFonts w:asciiTheme="minorHAnsi" w:hAnsiTheme="minorHAnsi" w:cstheme="minorHAnsi"/>
          <w:sz w:val="24"/>
        </w:rPr>
        <w:t>.</w:t>
      </w:r>
      <w:r w:rsidRPr="00A31F3F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Proměny pojmu „krásna“.</w:t>
      </w:r>
    </w:p>
    <w:p w:rsidR="00BA5D63" w:rsidRPr="00D45E7C" w:rsidRDefault="00697E59" w:rsidP="00D45E7C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Moderní </w:t>
      </w:r>
      <w:r w:rsidR="007D6C24" w:rsidRPr="00D45E7C">
        <w:rPr>
          <w:rFonts w:asciiTheme="minorHAnsi" w:hAnsiTheme="minorHAnsi" w:cstheme="minorHAnsi"/>
          <w:sz w:val="24"/>
        </w:rPr>
        <w:t>román první poloviny 20. století</w:t>
      </w:r>
      <w:r w:rsidRPr="00D45E7C">
        <w:rPr>
          <w:rFonts w:asciiTheme="minorHAnsi" w:hAnsiTheme="minorHAnsi" w:cstheme="minorHAnsi"/>
          <w:sz w:val="24"/>
        </w:rPr>
        <w:t xml:space="preserve"> jako obraz existenciální úzkosti</w:t>
      </w:r>
      <w:r w:rsidR="00F45DA4">
        <w:rPr>
          <w:rFonts w:asciiTheme="minorHAnsi" w:hAnsiTheme="minorHAnsi" w:cstheme="minorHAnsi"/>
          <w:sz w:val="24"/>
        </w:rPr>
        <w:t xml:space="preserve"> a historické zkušenosti</w:t>
      </w:r>
      <w:r w:rsidR="007D6C24" w:rsidRPr="00D45E7C">
        <w:rPr>
          <w:rFonts w:asciiTheme="minorHAnsi" w:hAnsiTheme="minorHAnsi" w:cstheme="minorHAnsi"/>
          <w:sz w:val="24"/>
        </w:rPr>
        <w:t xml:space="preserve">. </w:t>
      </w:r>
      <w:r w:rsidR="00BA5D63" w:rsidRPr="00D45E7C">
        <w:rPr>
          <w:rFonts w:asciiTheme="minorHAnsi" w:hAnsiTheme="minorHAnsi" w:cstheme="minorHAnsi"/>
          <w:sz w:val="24"/>
        </w:rPr>
        <w:t>Charakteristika vybraných děl ve vztahu k pojmům hypertextualita (parodie, trave</w:t>
      </w:r>
      <w:r w:rsidR="00D45E7C">
        <w:rPr>
          <w:rFonts w:asciiTheme="minorHAnsi" w:hAnsiTheme="minorHAnsi" w:cstheme="minorHAnsi"/>
          <w:sz w:val="24"/>
        </w:rPr>
        <w:t>stie, pastiš), satira, alegorie.</w:t>
      </w:r>
    </w:p>
    <w:p w:rsidR="00697E59" w:rsidRPr="00D45E7C" w:rsidRDefault="00BA5D63" w:rsidP="00D45E7C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Od rytířského románu k fantasy, od dystopie ke s</w:t>
      </w:r>
      <w:r w:rsidR="008C13DD" w:rsidRPr="00D45E7C">
        <w:rPr>
          <w:rFonts w:asciiTheme="minorHAnsi" w:hAnsiTheme="minorHAnsi" w:cstheme="minorHAnsi"/>
          <w:sz w:val="24"/>
        </w:rPr>
        <w:t>c</w:t>
      </w:r>
      <w:r w:rsidRPr="00D45E7C">
        <w:rPr>
          <w:rFonts w:asciiTheme="minorHAnsi" w:hAnsiTheme="minorHAnsi" w:cstheme="minorHAnsi"/>
          <w:sz w:val="24"/>
        </w:rPr>
        <w:t>i-fi</w:t>
      </w:r>
      <w:r w:rsidR="00D45E7C">
        <w:rPr>
          <w:rFonts w:asciiTheme="minorHAnsi" w:hAnsiTheme="minorHAnsi" w:cstheme="minorHAnsi"/>
          <w:sz w:val="24"/>
        </w:rPr>
        <w:t>, od gotického románu k hororu: tzv. „nízká“ literatura</w:t>
      </w:r>
      <w:r w:rsidRPr="00D45E7C">
        <w:rPr>
          <w:rFonts w:asciiTheme="minorHAnsi" w:hAnsiTheme="minorHAnsi" w:cstheme="minorHAnsi"/>
          <w:sz w:val="24"/>
        </w:rPr>
        <w:t>.</w:t>
      </w:r>
      <w:r w:rsidR="008C13DD" w:rsidRPr="00D45E7C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Intertextualita</w:t>
      </w:r>
      <w:r w:rsidR="007D6C24" w:rsidRPr="00D45E7C">
        <w:rPr>
          <w:rFonts w:asciiTheme="minorHAnsi" w:hAnsiTheme="minorHAnsi" w:cstheme="minorHAnsi"/>
          <w:sz w:val="24"/>
        </w:rPr>
        <w:t>.</w:t>
      </w:r>
    </w:p>
    <w:p w:rsidR="008C68B1" w:rsidRPr="00F45DA4" w:rsidRDefault="007D6C24" w:rsidP="00F45DA4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Literární obraz středoevropského duchovního</w:t>
      </w:r>
      <w:r w:rsidRPr="00D45E7C">
        <w:rPr>
          <w:rFonts w:asciiTheme="minorHAnsi" w:hAnsiTheme="minorHAnsi" w:cstheme="minorHAnsi"/>
          <w:spacing w:val="2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prostoru.</w:t>
      </w:r>
      <w:r w:rsidR="00BA5D63" w:rsidRPr="00D45E7C">
        <w:rPr>
          <w:rFonts w:asciiTheme="minorHAnsi" w:hAnsiTheme="minorHAnsi" w:cstheme="minorHAnsi"/>
          <w:sz w:val="24"/>
        </w:rPr>
        <w:t xml:space="preserve"> </w:t>
      </w:r>
      <w:r w:rsidR="00D45E7C">
        <w:rPr>
          <w:rFonts w:asciiTheme="minorHAnsi" w:hAnsiTheme="minorHAnsi" w:cstheme="minorHAnsi"/>
          <w:sz w:val="24"/>
        </w:rPr>
        <w:t>Ž</w:t>
      </w:r>
      <w:r w:rsidR="00BA5D63" w:rsidRPr="00D45E7C">
        <w:rPr>
          <w:rFonts w:asciiTheme="minorHAnsi" w:hAnsiTheme="minorHAnsi" w:cstheme="minorHAnsi"/>
          <w:sz w:val="24"/>
        </w:rPr>
        <w:t>ánry spjaté s duchovní/náboženskou zkušeností.</w:t>
      </w:r>
    </w:p>
    <w:sectPr w:rsidR="008C68B1" w:rsidRPr="00F45DA4" w:rsidSect="008B3B5C">
      <w:pgSz w:w="11910" w:h="16840"/>
      <w:pgMar w:top="10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514"/>
    <w:multiLevelType w:val="hybridMultilevel"/>
    <w:tmpl w:val="FC38AC2C"/>
    <w:lvl w:ilvl="0" w:tplc="82F43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7CEE"/>
    <w:multiLevelType w:val="hybridMultilevel"/>
    <w:tmpl w:val="3E32939E"/>
    <w:lvl w:ilvl="0" w:tplc="A216A3C0">
      <w:start w:val="1"/>
      <w:numFmt w:val="decimal"/>
      <w:lvlText w:val="%1."/>
      <w:lvlJc w:val="left"/>
      <w:pPr>
        <w:ind w:left="100" w:hanging="272"/>
      </w:pPr>
      <w:rPr>
        <w:rFonts w:asciiTheme="minorHAnsi" w:eastAsia="Times New Roman" w:hAnsiTheme="minorHAnsi" w:cstheme="minorHAnsi" w:hint="default"/>
        <w:b/>
        <w:spacing w:val="-30"/>
        <w:w w:val="99"/>
        <w:sz w:val="28"/>
        <w:szCs w:val="28"/>
        <w:lang w:val="cs-CZ" w:eastAsia="cs-CZ" w:bidi="cs-CZ"/>
      </w:rPr>
    </w:lvl>
    <w:lvl w:ilvl="1" w:tplc="EE5A764C">
      <w:numFmt w:val="bullet"/>
      <w:lvlText w:val="•"/>
      <w:lvlJc w:val="left"/>
      <w:pPr>
        <w:ind w:left="1158" w:hanging="272"/>
      </w:pPr>
      <w:rPr>
        <w:rFonts w:hint="default"/>
        <w:lang w:val="cs-CZ" w:eastAsia="cs-CZ" w:bidi="cs-CZ"/>
      </w:rPr>
    </w:lvl>
    <w:lvl w:ilvl="2" w:tplc="A8EE5C2C">
      <w:numFmt w:val="bullet"/>
      <w:lvlText w:val="•"/>
      <w:lvlJc w:val="left"/>
      <w:pPr>
        <w:ind w:left="2217" w:hanging="272"/>
      </w:pPr>
      <w:rPr>
        <w:rFonts w:hint="default"/>
        <w:lang w:val="cs-CZ" w:eastAsia="cs-CZ" w:bidi="cs-CZ"/>
      </w:rPr>
    </w:lvl>
    <w:lvl w:ilvl="3" w:tplc="9956ECF8">
      <w:numFmt w:val="bullet"/>
      <w:lvlText w:val="•"/>
      <w:lvlJc w:val="left"/>
      <w:pPr>
        <w:ind w:left="3275" w:hanging="272"/>
      </w:pPr>
      <w:rPr>
        <w:rFonts w:hint="default"/>
        <w:lang w:val="cs-CZ" w:eastAsia="cs-CZ" w:bidi="cs-CZ"/>
      </w:rPr>
    </w:lvl>
    <w:lvl w:ilvl="4" w:tplc="98683314">
      <w:numFmt w:val="bullet"/>
      <w:lvlText w:val="•"/>
      <w:lvlJc w:val="left"/>
      <w:pPr>
        <w:ind w:left="4334" w:hanging="272"/>
      </w:pPr>
      <w:rPr>
        <w:rFonts w:hint="default"/>
        <w:lang w:val="cs-CZ" w:eastAsia="cs-CZ" w:bidi="cs-CZ"/>
      </w:rPr>
    </w:lvl>
    <w:lvl w:ilvl="5" w:tplc="DF08C008">
      <w:numFmt w:val="bullet"/>
      <w:lvlText w:val="•"/>
      <w:lvlJc w:val="left"/>
      <w:pPr>
        <w:ind w:left="5393" w:hanging="272"/>
      </w:pPr>
      <w:rPr>
        <w:rFonts w:hint="default"/>
        <w:lang w:val="cs-CZ" w:eastAsia="cs-CZ" w:bidi="cs-CZ"/>
      </w:rPr>
    </w:lvl>
    <w:lvl w:ilvl="6" w:tplc="7DE2E69E">
      <w:numFmt w:val="bullet"/>
      <w:lvlText w:val="•"/>
      <w:lvlJc w:val="left"/>
      <w:pPr>
        <w:ind w:left="6451" w:hanging="272"/>
      </w:pPr>
      <w:rPr>
        <w:rFonts w:hint="default"/>
        <w:lang w:val="cs-CZ" w:eastAsia="cs-CZ" w:bidi="cs-CZ"/>
      </w:rPr>
    </w:lvl>
    <w:lvl w:ilvl="7" w:tplc="D390DEE2">
      <w:numFmt w:val="bullet"/>
      <w:lvlText w:val="•"/>
      <w:lvlJc w:val="left"/>
      <w:pPr>
        <w:ind w:left="7510" w:hanging="272"/>
      </w:pPr>
      <w:rPr>
        <w:rFonts w:hint="default"/>
        <w:lang w:val="cs-CZ" w:eastAsia="cs-CZ" w:bidi="cs-CZ"/>
      </w:rPr>
    </w:lvl>
    <w:lvl w:ilvl="8" w:tplc="2A00C118">
      <w:numFmt w:val="bullet"/>
      <w:lvlText w:val="•"/>
      <w:lvlJc w:val="left"/>
      <w:pPr>
        <w:ind w:left="8569" w:hanging="272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04"/>
    <w:rsid w:val="00021AE0"/>
    <w:rsid w:val="001256FE"/>
    <w:rsid w:val="00180690"/>
    <w:rsid w:val="003B60FE"/>
    <w:rsid w:val="003C5504"/>
    <w:rsid w:val="003E55C0"/>
    <w:rsid w:val="004D54DD"/>
    <w:rsid w:val="00582171"/>
    <w:rsid w:val="00697E59"/>
    <w:rsid w:val="0074635F"/>
    <w:rsid w:val="007D6C24"/>
    <w:rsid w:val="00825352"/>
    <w:rsid w:val="00854C88"/>
    <w:rsid w:val="0085567E"/>
    <w:rsid w:val="008A0E2D"/>
    <w:rsid w:val="008B3B5C"/>
    <w:rsid w:val="008C13DD"/>
    <w:rsid w:val="008C68B1"/>
    <w:rsid w:val="009F71E7"/>
    <w:rsid w:val="00A31F3F"/>
    <w:rsid w:val="00BA5D63"/>
    <w:rsid w:val="00BF7AFE"/>
    <w:rsid w:val="00CC12BA"/>
    <w:rsid w:val="00CC5CCA"/>
    <w:rsid w:val="00CE68C9"/>
    <w:rsid w:val="00D05285"/>
    <w:rsid w:val="00D45E7C"/>
    <w:rsid w:val="00D85181"/>
    <w:rsid w:val="00E07089"/>
    <w:rsid w:val="00E77643"/>
    <w:rsid w:val="00E9770E"/>
    <w:rsid w:val="00F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A09D"/>
  <w15:docId w15:val="{2683CFDA-AB19-4E2C-B7C7-2EB6D40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B3B5C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8B3B5C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B3B5C"/>
    <w:pPr>
      <w:ind w:left="10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B3B5C"/>
    <w:pPr>
      <w:spacing w:before="120"/>
      <w:ind w:left="100" w:right="113"/>
      <w:jc w:val="both"/>
    </w:pPr>
  </w:style>
  <w:style w:type="paragraph" w:customStyle="1" w:styleId="TableParagraph">
    <w:name w:val="Table Paragraph"/>
    <w:basedOn w:val="Normln"/>
    <w:uiPriority w:val="1"/>
    <w:qFormat/>
    <w:rsid w:val="008B3B5C"/>
  </w:style>
  <w:style w:type="paragraph" w:styleId="Textbubliny">
    <w:name w:val="Balloon Text"/>
    <w:basedOn w:val="Normln"/>
    <w:link w:val="TextbublinyChar"/>
    <w:uiPriority w:val="99"/>
    <w:semiHidden/>
    <w:unhideWhenUsed/>
    <w:rsid w:val="00697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E59"/>
    <w:rPr>
      <w:rFonts w:ascii="Segoe UI" w:eastAsia="Times New Roman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E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E59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E59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A5D6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A5D63"/>
    <w:rPr>
      <w:rFonts w:ascii="Tahoma" w:eastAsia="Times New Roman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 Evropská literatura a interpretace textu</vt:lpstr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Evropská literatura a interpretace textu</dc:title>
  <dc:creator>Pavel Šidák</dc:creator>
  <cp:lastModifiedBy>NOVÁK Lukáš</cp:lastModifiedBy>
  <cp:revision>4</cp:revision>
  <dcterms:created xsi:type="dcterms:W3CDTF">2019-11-01T11:18:00Z</dcterms:created>
  <dcterms:modified xsi:type="dcterms:W3CDTF">2019-11-25T09:44:00Z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2018-11-29T00:00:00Z</vt:filetime>
  </property>
</Properties>
</file>